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(</w:t>
      </w:r>
      <w:r>
        <w:rPr>
          <w:rFonts w:hint="eastAsia" w:asciiTheme="majorEastAsia" w:hAnsiTheme="majorEastAsia" w:eastAsiaTheme="majorEastAsia"/>
        </w:rPr>
        <w:t>別紙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32"/>
          <w:u w:val="single" w:color="auto"/>
        </w:rPr>
      </w:pPr>
      <w:r>
        <w:rPr>
          <w:rFonts w:hint="eastAsia" w:asciiTheme="majorEastAsia" w:hAnsiTheme="majorEastAsia" w:eastAsiaTheme="majorEastAsia"/>
          <w:sz w:val="32"/>
          <w:u w:val="single" w:color="auto"/>
        </w:rPr>
        <w:t>売上高</w:t>
      </w:r>
      <w:r>
        <w:rPr>
          <w:rFonts w:hint="default" w:asciiTheme="majorEastAsia" w:hAnsiTheme="majorEastAsia" w:eastAsiaTheme="majorEastAsia"/>
          <w:sz w:val="32"/>
          <w:u w:val="single" w:color="auto"/>
        </w:rPr>
        <w:t>比較明細書</w:t>
      </w:r>
      <w:bookmarkStart w:id="0" w:name="_GoBack"/>
      <w:bookmarkEnd w:id="0"/>
    </w:p>
    <w:p>
      <w:pPr>
        <w:pStyle w:val="0"/>
        <w:ind w:firstLine="420" w:firstLineChars="20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firstLine="420" w:firstLineChars="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○最近１か月間の</w:t>
      </w:r>
      <w:r>
        <w:rPr>
          <w:rFonts w:hint="default" w:asciiTheme="majorEastAsia" w:hAnsiTheme="majorEastAsia" w:eastAsiaTheme="majorEastAsia"/>
        </w:rPr>
        <w:t>売上高等</w:t>
      </w:r>
    </w:p>
    <w:tbl>
      <w:tblPr>
        <w:tblStyle w:val="26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18"/>
        <w:gridCol w:w="2835"/>
        <w:gridCol w:w="1554"/>
        <w:gridCol w:w="2794"/>
      </w:tblGrid>
      <w:tr>
        <w:trPr>
          <w:trHeight w:val="504" w:hRule="atLeast"/>
        </w:trPr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9525</wp:posOffset>
                      </wp:positionV>
                      <wp:extent cx="895350" cy="685800"/>
                      <wp:effectExtent l="635" t="635" r="29845" b="10795"/>
                      <wp:wrapNone/>
                      <wp:docPr id="1026" name="直線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2"/>
                            <wps:cNvSpPr/>
                            <wps:spPr>
                              <a:xfrm>
                                <a:off x="0" y="0"/>
                                <a:ext cx="89535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00]" strokeweight="0.5pt" o:spt="20" from="-5.6pt,0.75pt" to="64.900000000000006pt,54.7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新型コロナウイルス発生</w:t>
            </w:r>
            <w:r>
              <w:rPr>
                <w:rFonts w:hint="default" w:asciiTheme="majorEastAsia" w:hAnsiTheme="majorEastAsia" w:eastAsiaTheme="majorEastAsia"/>
              </w:rPr>
              <w:t>後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最近</w:t>
            </w:r>
            <w:r>
              <w:rPr>
                <w:rFonts w:hint="default" w:asciiTheme="majorEastAsia" w:hAnsiTheme="majorEastAsia" w:eastAsiaTheme="majorEastAsia"/>
              </w:rPr>
              <w:t>１か月</w:t>
            </w:r>
            <w:r>
              <w:rPr>
                <w:rFonts w:hint="eastAsia" w:asciiTheme="majorEastAsia" w:hAnsiTheme="majorEastAsia" w:eastAsiaTheme="majorEastAsia"/>
              </w:rPr>
              <w:t>間の</w:t>
            </w:r>
            <w:r>
              <w:rPr>
                <w:rFonts w:hint="default" w:asciiTheme="majorEastAsia" w:hAnsiTheme="majorEastAsia" w:eastAsiaTheme="majorEastAsia"/>
              </w:rPr>
              <w:t>売上</w:t>
            </w:r>
            <w:r>
              <w:rPr>
                <w:rFonts w:hint="eastAsia" w:asciiTheme="majorEastAsia" w:hAnsiTheme="majorEastAsia" w:eastAsiaTheme="majorEastAsia"/>
              </w:rPr>
              <w:t>高等</w:t>
            </w:r>
          </w:p>
        </w:tc>
        <w:tc>
          <w:tcPr>
            <w:tcW w:w="155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</wp:posOffset>
                      </wp:positionV>
                      <wp:extent cx="962025" cy="676275"/>
                      <wp:effectExtent l="635" t="635" r="29845" b="10795"/>
                      <wp:wrapNone/>
                      <wp:docPr id="1027" name="直線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3"/>
                            <wps:cNvSpPr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00]" strokeweight="0.5pt" o:spt="20" from="-5.15pt,0.75pt" to="70.600000000000009pt,54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79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新型コロナウイルス発生</w:t>
            </w:r>
            <w:r>
              <w:rPr>
                <w:rFonts w:hint="default" w:asciiTheme="majorEastAsia" w:hAnsiTheme="majorEastAsia" w:eastAsiaTheme="majorEastAsia"/>
              </w:rPr>
              <w:t>後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最近</w:t>
            </w:r>
            <w:r>
              <w:rPr>
                <w:rFonts w:hint="default" w:asciiTheme="majorEastAsia" w:hAnsiTheme="majorEastAsia" w:eastAsiaTheme="majorEastAsia"/>
              </w:rPr>
              <w:t>１か月</w:t>
            </w:r>
            <w:r>
              <w:rPr>
                <w:rFonts w:hint="eastAsia" w:asciiTheme="majorEastAsia" w:hAnsiTheme="majorEastAsia" w:eastAsiaTheme="majorEastAsia"/>
              </w:rPr>
              <w:t>間に</w:t>
            </w:r>
            <w:r>
              <w:rPr>
                <w:rFonts w:hint="default" w:asciiTheme="majorEastAsia" w:hAnsiTheme="majorEastAsia" w:eastAsiaTheme="majorEastAsia"/>
              </w:rPr>
              <w:t>対応する前年１か月の売上高等</w:t>
            </w:r>
          </w:p>
        </w:tc>
      </w:tr>
      <w:tr>
        <w:trPr>
          <w:trHeight w:val="504" w:hRule="atLeast"/>
        </w:trPr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</w:t>
            </w:r>
            <w:r>
              <w:rPr>
                <w:rFonts w:hint="default" w:asciiTheme="majorEastAsia" w:hAnsiTheme="majorEastAsia" w:eastAsiaTheme="majorEastAsia"/>
              </w:rPr>
              <w:t>　　年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　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ind w:right="-250" w:firstLine="105" w:firstLineChars="5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Ａ：　　</w:t>
            </w:r>
            <w:r>
              <w:rPr>
                <w:rFonts w:hint="default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円</w:t>
            </w:r>
          </w:p>
        </w:tc>
        <w:tc>
          <w:tcPr>
            <w:tcW w:w="155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</w:t>
            </w:r>
            <w:r>
              <w:rPr>
                <w:rFonts w:hint="default" w:asciiTheme="majorEastAsia" w:hAnsiTheme="majorEastAsia" w:eastAsiaTheme="majorEastAsia"/>
              </w:rPr>
              <w:t>　　年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　月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ind w:right="231" w:firstLine="105" w:firstLineChars="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Ｂ：</w:t>
            </w:r>
            <w:r>
              <w:rPr>
                <w:rFonts w:hint="default" w:asciiTheme="majorEastAsia" w:hAnsiTheme="majorEastAsia" w:eastAsiaTheme="majorEastAsia"/>
              </w:rPr>
              <w:t>　　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ind w:firstLine="1050" w:firstLineChars="50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2800985</wp:posOffset>
                </wp:positionH>
                <wp:positionV relativeFrom="paragraph">
                  <wp:posOffset>16510</wp:posOffset>
                </wp:positionV>
                <wp:extent cx="885825" cy="438150"/>
                <wp:effectExtent l="635" t="635" r="29845" b="10795"/>
                <wp:wrapNone/>
                <wp:docPr id="1028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8"/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1.3pt;mso-position-vertical-relative:text;mso-position-horizontal-relative:margin;position:absolute;height:34.5pt;mso-wrap-distance-top:0pt;width:69.75pt;mso-wrap-distance-left:9pt;margin-left:220.55pt;z-index:4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u w:val="single" w:color="auto"/>
        </w:rPr>
        <w:t>Ｂ－Ａ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　　　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Ｂ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default" w:asciiTheme="majorEastAsia" w:hAnsiTheme="majorEastAsia" w:eastAsiaTheme="majorEastAsia"/>
        </w:rPr>
        <w:t>×100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　＝　　　　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　　　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％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20</w:t>
      </w:r>
      <w:r>
        <w:rPr>
          <w:rFonts w:hint="default" w:asciiTheme="majorEastAsia" w:hAnsiTheme="majorEastAsia" w:eastAsiaTheme="majorEastAsia"/>
        </w:rPr>
        <w:t>％以上減少（</w:t>
      </w:r>
      <w:r>
        <w:rPr>
          <w:rFonts w:hint="eastAsia" w:asciiTheme="majorEastAsia" w:hAnsiTheme="majorEastAsia" w:eastAsiaTheme="majorEastAsia"/>
        </w:rPr>
        <w:t>実績</w:t>
      </w:r>
      <w:r>
        <w:rPr>
          <w:rFonts w:hint="default" w:asciiTheme="majorEastAsia" w:hAnsiTheme="majorEastAsia" w:eastAsiaTheme="majorEastAsia"/>
        </w:rPr>
        <w:t>）</w:t>
      </w:r>
    </w:p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ind w:firstLine="420" w:firstLineChars="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○最近１か月間後２</w:t>
      </w:r>
      <w:r>
        <w:rPr>
          <w:rFonts w:hint="default" w:asciiTheme="majorEastAsia" w:hAnsiTheme="majorEastAsia" w:eastAsiaTheme="majorEastAsia"/>
        </w:rPr>
        <w:t>か月</w:t>
      </w:r>
      <w:r>
        <w:rPr>
          <w:rFonts w:hint="eastAsia" w:asciiTheme="majorEastAsia" w:hAnsiTheme="majorEastAsia" w:eastAsiaTheme="majorEastAsia"/>
        </w:rPr>
        <w:t>間</w:t>
      </w:r>
      <w:r>
        <w:rPr>
          <w:rFonts w:hint="default" w:asciiTheme="majorEastAsia" w:hAnsiTheme="majorEastAsia" w:eastAsiaTheme="majorEastAsia"/>
        </w:rPr>
        <w:t>の</w:t>
      </w:r>
      <w:r>
        <w:rPr>
          <w:rFonts w:hint="eastAsia" w:asciiTheme="majorEastAsia" w:hAnsiTheme="majorEastAsia" w:eastAsiaTheme="majorEastAsia"/>
        </w:rPr>
        <w:t>見込み</w:t>
      </w:r>
      <w:r>
        <w:rPr>
          <w:rFonts w:hint="default" w:asciiTheme="majorEastAsia" w:hAnsiTheme="majorEastAsia" w:eastAsiaTheme="majorEastAsia"/>
        </w:rPr>
        <w:t>売上高等</w:t>
      </w:r>
    </w:p>
    <w:tbl>
      <w:tblPr>
        <w:tblStyle w:val="26"/>
        <w:tblW w:w="850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18"/>
        <w:gridCol w:w="2748"/>
        <w:gridCol w:w="1504"/>
        <w:gridCol w:w="2835"/>
      </w:tblGrid>
      <w:tr>
        <w:trPr>
          <w:trHeight w:val="504" w:hRule="atLeast"/>
        </w:trPr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8890</wp:posOffset>
                      </wp:positionV>
                      <wp:extent cx="923925" cy="695325"/>
                      <wp:effectExtent l="635" t="635" r="29845" b="10795"/>
                      <wp:wrapNone/>
                      <wp:docPr id="1029" name="直線コネクタ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5"/>
                            <wps:cNvSpPr/>
                            <wps:spPr>
                              <a:xfrm>
                                <a:off x="0" y="0"/>
                                <a:ext cx="92392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" strokeweight="0.5pt" o:spt="20" from="-5.65pt,0.7pt" to="67.100000000000009pt,55.4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74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0</wp:posOffset>
                      </wp:positionV>
                      <wp:extent cx="971550" cy="685800"/>
                      <wp:effectExtent l="635" t="635" r="29845" b="10795"/>
                      <wp:wrapNone/>
                      <wp:docPr id="1030" name="直線コネクタ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コネクタ 6"/>
                            <wps:cNvSpPr/>
                            <wps:spPr>
                              <a:xfrm>
                                <a:off x="0" y="0"/>
                                <a:ext cx="9715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style="mso-wrap-distance-top:0pt;mso-wrap-distance-right:9pt;mso-wrap-distance-bottom:0pt;mso-position-vertical-relative:text;mso-position-horizontal-relative:text;position:absolute;mso-wrap-distance-left:9pt;z-index:6;" o:spid="_x0000_s1030" o:allowincell="t" o:allowoverlap="t" filled="f" stroked="t" strokecolor="#000000" strokeweight="0.5pt" o:spt="20" from="131.95000000000002pt,0pt" to="208.45pt,54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</w:rPr>
              <w:t>新型コロナウイルス発生</w:t>
            </w:r>
            <w:r>
              <w:rPr>
                <w:rFonts w:hint="default" w:asciiTheme="majorEastAsia" w:hAnsiTheme="majorEastAsia" w:eastAsiaTheme="majorEastAsia"/>
              </w:rPr>
              <w:t>後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最近</w:t>
            </w:r>
            <w:r>
              <w:rPr>
                <w:rFonts w:hint="default" w:asciiTheme="majorEastAsia" w:hAnsiTheme="majorEastAsia" w:eastAsiaTheme="majorEastAsia"/>
              </w:rPr>
              <w:t>１か月</w:t>
            </w:r>
            <w:r>
              <w:rPr>
                <w:rFonts w:hint="eastAsia" w:asciiTheme="majorEastAsia" w:hAnsiTheme="majorEastAsia" w:eastAsiaTheme="majorEastAsia"/>
              </w:rPr>
              <w:t>間後</w:t>
            </w:r>
            <w:r>
              <w:rPr>
                <w:rFonts w:hint="default" w:asciiTheme="majorEastAsia" w:hAnsiTheme="majorEastAsia" w:eastAsiaTheme="majorEastAsia"/>
              </w:rPr>
              <w:t>２か月</w:t>
            </w:r>
            <w:r>
              <w:rPr>
                <w:rFonts w:hint="eastAsia" w:asciiTheme="majorEastAsia" w:hAnsiTheme="majorEastAsia" w:eastAsiaTheme="majorEastAsia"/>
              </w:rPr>
              <w:t>間の</w:t>
            </w:r>
            <w:r>
              <w:rPr>
                <w:rFonts w:hint="default" w:asciiTheme="majorEastAsia" w:hAnsiTheme="majorEastAsia" w:eastAsiaTheme="majorEastAsia"/>
              </w:rPr>
              <w:t>見込み</w:t>
            </w:r>
            <w:r>
              <w:rPr>
                <w:rFonts w:hint="eastAsia" w:asciiTheme="majorEastAsia" w:hAnsiTheme="majorEastAsia" w:eastAsiaTheme="majorEastAsia"/>
              </w:rPr>
              <w:t>売上</w:t>
            </w:r>
            <w:r>
              <w:rPr>
                <w:rFonts w:hint="default" w:asciiTheme="majorEastAsia" w:hAnsiTheme="majorEastAsia" w:eastAsiaTheme="majorEastAsia"/>
              </w:rPr>
              <w:t>高</w:t>
            </w:r>
            <w:r>
              <w:rPr>
                <w:rFonts w:hint="eastAsia" w:asciiTheme="majorEastAsia" w:hAnsiTheme="majorEastAsia" w:eastAsiaTheme="majorEastAsia"/>
              </w:rPr>
              <w:t>等</w:t>
            </w:r>
          </w:p>
        </w:tc>
        <w:tc>
          <w:tcPr>
            <w:tcW w:w="150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新型コロナウイルス発生</w:t>
            </w:r>
            <w:r>
              <w:rPr>
                <w:rFonts w:hint="default" w:asciiTheme="majorEastAsia" w:hAnsiTheme="majorEastAsia" w:eastAsiaTheme="majorEastAsia"/>
              </w:rPr>
              <w:t>後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最近</w:t>
            </w:r>
            <w:r>
              <w:rPr>
                <w:rFonts w:hint="default" w:asciiTheme="majorEastAsia" w:hAnsiTheme="majorEastAsia" w:eastAsiaTheme="majorEastAsia"/>
              </w:rPr>
              <w:t>１か月</w:t>
            </w:r>
            <w:r>
              <w:rPr>
                <w:rFonts w:hint="eastAsia" w:asciiTheme="majorEastAsia" w:hAnsiTheme="majorEastAsia" w:eastAsiaTheme="majorEastAsia"/>
              </w:rPr>
              <w:t>間後に</w:t>
            </w:r>
            <w:r>
              <w:rPr>
                <w:rFonts w:hint="default" w:asciiTheme="majorEastAsia" w:hAnsiTheme="majorEastAsia" w:eastAsiaTheme="majorEastAsia"/>
              </w:rPr>
              <w:t>対応する前年</w:t>
            </w:r>
            <w:r>
              <w:rPr>
                <w:rFonts w:hint="eastAsia" w:asciiTheme="majorEastAsia" w:hAnsiTheme="majorEastAsia" w:eastAsiaTheme="majorEastAsia"/>
              </w:rPr>
              <w:t>２</w:t>
            </w:r>
            <w:r>
              <w:rPr>
                <w:rFonts w:hint="default" w:asciiTheme="majorEastAsia" w:hAnsiTheme="majorEastAsia" w:eastAsiaTheme="majorEastAsia"/>
              </w:rPr>
              <w:t>か月の売上高等</w:t>
            </w:r>
          </w:p>
        </w:tc>
      </w:tr>
      <w:tr>
        <w:trPr>
          <w:trHeight w:val="504" w:hRule="atLeast"/>
        </w:trPr>
        <w:tc>
          <w:tcPr>
            <w:tcW w:w="14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</w:t>
            </w:r>
            <w:r>
              <w:rPr>
                <w:rFonts w:hint="default" w:asciiTheme="majorEastAsia" w:hAnsiTheme="majorEastAsia" w:eastAsiaTheme="majorEastAsia"/>
              </w:rPr>
              <w:t>　　年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　月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150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</w:t>
            </w:r>
            <w:r>
              <w:rPr>
                <w:rFonts w:hint="default" w:asciiTheme="majorEastAsia" w:hAnsiTheme="majorEastAsia" w:eastAsiaTheme="majorEastAsia"/>
              </w:rPr>
              <w:t>　　年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　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735" w:hRule="atLeast"/>
        </w:trPr>
        <w:tc>
          <w:tcPr>
            <w:tcW w:w="1418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　月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>　　　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>
          <w:trHeight w:val="663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２か月</w:t>
            </w:r>
            <w:r>
              <w:rPr>
                <w:rFonts w:hint="default" w:asciiTheme="majorEastAsia" w:hAnsiTheme="majorEastAsia" w:eastAsiaTheme="majorEastAsia"/>
              </w:rPr>
              <w:t>計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Ｃ：　</w:t>
            </w:r>
            <w:r>
              <w:rPr>
                <w:rFonts w:hint="default" w:asciiTheme="majorEastAsia" w:hAnsiTheme="majorEastAsia" w:eastAsiaTheme="majorEastAsia"/>
              </w:rPr>
              <w:t>　　　　　　　円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２か月</w:t>
            </w:r>
            <w:r>
              <w:rPr>
                <w:rFonts w:hint="default" w:asciiTheme="majorEastAsia" w:hAnsiTheme="majorEastAsia" w:eastAsiaTheme="majorEastAsia"/>
              </w:rPr>
              <w:t>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Ｄ：　</w:t>
            </w:r>
            <w:r>
              <w:rPr>
                <w:rFonts w:hint="default" w:asciiTheme="majorEastAsia" w:hAnsiTheme="majorEastAsia" w:eastAsiaTheme="majorEastAsia"/>
              </w:rPr>
              <w:t>　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</w:rPr>
              <w:t>　　　　円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ind w:firstLine="1050" w:firstLineChars="50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3211830</wp:posOffset>
                </wp:positionH>
                <wp:positionV relativeFrom="paragraph">
                  <wp:posOffset>6985</wp:posOffset>
                </wp:positionV>
                <wp:extent cx="876300" cy="447675"/>
                <wp:effectExtent l="635" t="635" r="29845" b="10795"/>
                <wp:wrapNone/>
                <wp:docPr id="1031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0"/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0" style="mso-wrap-distance-right:9pt;mso-wrap-distance-bottom:0pt;margin-top:0.55000000000000004pt;mso-position-vertical-relative:text;mso-position-horizontal-relative:margin;position:absolute;height:35.25pt;mso-wrap-distance-top:0pt;width:69pt;mso-wrap-distance-left:9pt;margin-left:252.9pt;z-index:7;" o:spid="_x0000_s1031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 w:asciiTheme="majorEastAsia" w:hAnsiTheme="majorEastAsia" w:eastAsiaTheme="majorEastAsia"/>
          <w:u w:val="single" w:color="auto"/>
        </w:rPr>
        <w:t>（Ｂ＋Ｄ）</w:t>
      </w:r>
      <w:r>
        <w:rPr>
          <w:rFonts w:hint="eastAsia" w:asciiTheme="majorEastAsia" w:hAnsiTheme="majorEastAsia" w:eastAsiaTheme="majorEastAsia"/>
          <w:u w:val="single" w:color="auto"/>
        </w:rPr>
        <w:t>－</w:t>
      </w:r>
      <w:r>
        <w:rPr>
          <w:rFonts w:hint="default" w:asciiTheme="majorEastAsia" w:hAnsiTheme="majorEastAsia" w:eastAsiaTheme="majorEastAsia"/>
          <w:u w:val="single" w:color="auto"/>
        </w:rPr>
        <w:t>（Ａ＋Ｃ）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　　　　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　Ｂ＋Ｄ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</w:rPr>
        <w:t>　×</w:t>
      </w:r>
      <w:r>
        <w:rPr>
          <w:rFonts w:hint="eastAsia" w:asciiTheme="majorEastAsia" w:hAnsiTheme="majorEastAsia" w:eastAsiaTheme="majorEastAsia"/>
        </w:rPr>
        <w:t>100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＝　</w:t>
      </w:r>
      <w:r>
        <w:rPr>
          <w:rFonts w:hint="default" w:asciiTheme="majorEastAsia" w:hAnsiTheme="majorEastAsia" w:eastAsiaTheme="majorEastAsia"/>
        </w:rPr>
        <w:t>　　　　　　％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　</w:t>
      </w:r>
      <w:r>
        <w:rPr>
          <w:rFonts w:hint="default" w:asciiTheme="majorEastAsia" w:hAnsiTheme="majorEastAsia" w:eastAsiaTheme="majorEastAsia"/>
        </w:rPr>
        <w:t>20</w:t>
      </w:r>
      <w:r>
        <w:rPr>
          <w:rFonts w:hint="default" w:asciiTheme="majorEastAsia" w:hAnsiTheme="majorEastAsia" w:eastAsiaTheme="majorEastAsia"/>
        </w:rPr>
        <w:t>％以上減少（</w:t>
      </w:r>
      <w:r>
        <w:rPr>
          <w:rFonts w:hint="eastAsia" w:asciiTheme="majorEastAsia" w:hAnsiTheme="majorEastAsia" w:eastAsiaTheme="majorEastAsia"/>
        </w:rPr>
        <w:t>実績見込</w:t>
      </w:r>
      <w:r>
        <w:rPr>
          <w:rFonts w:hint="default" w:asciiTheme="majorEastAsia" w:hAnsiTheme="majorEastAsia" w:eastAsiaTheme="majorEastAsia"/>
        </w:rPr>
        <w:t>み）</w:t>
      </w:r>
    </w:p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上記のとおり</w:t>
      </w:r>
      <w:r>
        <w:rPr>
          <w:rFonts w:hint="default" w:asciiTheme="majorEastAsia" w:hAnsiTheme="majorEastAsia" w:eastAsiaTheme="majorEastAsia"/>
        </w:rPr>
        <w:t>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</w:t>
      </w:r>
      <w:r>
        <w:rPr>
          <w:rFonts w:hint="default" w:asciiTheme="majorEastAsia" w:hAnsiTheme="majorEastAsia" w:eastAsiaTheme="majorEastAsia"/>
        </w:rPr>
        <w:t>　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ind w:firstLine="4620" w:firstLineChars="220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申請者</w:t>
      </w:r>
    </w:p>
    <w:p>
      <w:pPr>
        <w:pStyle w:val="0"/>
        <w:ind w:firstLine="4620" w:firstLineChars="220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  <w:u w:val="single" w:color="auto"/>
        </w:rPr>
        <w:t>住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ind w:firstLine="4620" w:firstLineChars="220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氏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名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印</w:t>
      </w:r>
    </w:p>
    <w:p>
      <w:pPr>
        <w:pStyle w:val="0"/>
        <w:ind w:firstLine="4620" w:firstLineChars="220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ind w:firstLine="4620" w:firstLineChars="220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※この</w:t>
      </w:r>
      <w:r>
        <w:rPr>
          <w:rFonts w:hint="default" w:asciiTheme="majorEastAsia" w:hAnsiTheme="majorEastAsia" w:eastAsiaTheme="majorEastAsia"/>
        </w:rPr>
        <w:t>資料の</w:t>
      </w:r>
      <w:r>
        <w:rPr>
          <w:rFonts w:hint="eastAsia" w:asciiTheme="majorEastAsia" w:hAnsiTheme="majorEastAsia" w:eastAsiaTheme="majorEastAsia"/>
        </w:rPr>
        <w:t>算出</w:t>
      </w:r>
      <w:r>
        <w:rPr>
          <w:rFonts w:hint="default" w:asciiTheme="majorEastAsia" w:hAnsiTheme="majorEastAsia" w:eastAsiaTheme="majorEastAsia"/>
        </w:rPr>
        <w:t>根拠を添付してください。</w:t>
      </w:r>
    </w:p>
    <w:sectPr>
      <w:pgSz w:w="11906" w:h="16838"/>
      <w:pgMar w:top="680" w:right="1077" w:bottom="107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275</TotalTime>
  <Pages>1</Pages>
  <Words>80</Words>
  <Characters>457</Characters>
  <Application>JUST Note</Application>
  <Lines>3</Lines>
  <Paragraphs>1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松村 佐和子</dc:creator>
  <cp:lastModifiedBy>商工振興課01</cp:lastModifiedBy>
  <cp:lastPrinted>2020-02-28T04:09:00Z</cp:lastPrinted>
  <dcterms:created xsi:type="dcterms:W3CDTF">2015-10-06T00:21:00Z</dcterms:created>
  <dcterms:modified xsi:type="dcterms:W3CDTF">2023-09-27T02:01:18Z</dcterms:modified>
  <cp:revision>21</cp:revision>
</cp:coreProperties>
</file>